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C7" w:rsidRPr="00556403" w:rsidRDefault="00BE40C7" w:rsidP="00F735E8">
      <w:pPr>
        <w:widowControl/>
        <w:shd w:val="clear" w:color="auto" w:fill="FFFFFF"/>
        <w:spacing w:beforeLines="50" w:before="156" w:afterLines="50" w:after="156" w:line="300" w:lineRule="auto"/>
        <w:ind w:firstLineChars="200" w:firstLine="482"/>
        <w:jc w:val="left"/>
        <w:outlineLvl w:val="0"/>
        <w:rPr>
          <w:rFonts w:asciiTheme="minorEastAsia" w:hAnsiTheme="minorEastAsia" w:cs="Arial" w:hint="eastAsia"/>
          <w:b/>
          <w:bCs/>
          <w:color w:val="191919"/>
          <w:kern w:val="36"/>
          <w:sz w:val="24"/>
          <w:szCs w:val="24"/>
        </w:rPr>
      </w:pPr>
      <w:r w:rsidRPr="00BE40C7">
        <w:rPr>
          <w:rFonts w:asciiTheme="minorEastAsia" w:hAnsiTheme="minorEastAsia" w:cs="Arial"/>
          <w:b/>
          <w:bCs/>
          <w:color w:val="191919"/>
          <w:kern w:val="36"/>
          <w:sz w:val="24"/>
          <w:szCs w:val="24"/>
        </w:rPr>
        <w:t>《地平线报告》2018</w:t>
      </w:r>
      <w:proofErr w:type="gramStart"/>
      <w:r w:rsidRPr="00BE40C7">
        <w:rPr>
          <w:rFonts w:asciiTheme="minorEastAsia" w:hAnsiTheme="minorEastAsia" w:cs="Arial"/>
          <w:b/>
          <w:bCs/>
          <w:color w:val="191919"/>
          <w:kern w:val="36"/>
          <w:sz w:val="24"/>
          <w:szCs w:val="24"/>
        </w:rPr>
        <w:t>高教版</w:t>
      </w:r>
      <w:proofErr w:type="gramEnd"/>
      <w:r w:rsidRPr="00BE40C7">
        <w:rPr>
          <w:rFonts w:asciiTheme="minorEastAsia" w:hAnsiTheme="minorEastAsia" w:cs="Arial"/>
          <w:b/>
          <w:bCs/>
          <w:color w:val="191919"/>
          <w:kern w:val="36"/>
          <w:sz w:val="24"/>
          <w:szCs w:val="24"/>
        </w:rPr>
        <w:t>公布长中短期教育技术的主要趋势</w:t>
      </w:r>
    </w:p>
    <w:p w:rsidR="00BE40C7" w:rsidRPr="00556403" w:rsidRDefault="002945FE" w:rsidP="00F735E8">
      <w:pPr>
        <w:widowControl/>
        <w:shd w:val="clear" w:color="auto" w:fill="FFFFFF"/>
        <w:spacing w:line="300" w:lineRule="auto"/>
        <w:ind w:firstLineChars="200" w:firstLine="480"/>
        <w:jc w:val="left"/>
        <w:outlineLvl w:val="0"/>
        <w:rPr>
          <w:rFonts w:asciiTheme="minorEastAsia" w:hAnsiTheme="minorEastAsia" w:cs="Arial" w:hint="eastAsia"/>
          <w:b/>
          <w:bCs/>
          <w:color w:val="191919"/>
          <w:kern w:val="36"/>
          <w:sz w:val="24"/>
          <w:szCs w:val="24"/>
        </w:rPr>
      </w:pPr>
      <w:r w:rsidRPr="00556403">
        <w:rPr>
          <w:rFonts w:asciiTheme="minorEastAsia" w:hAnsiTheme="minorEastAsia" w:cs="Arial"/>
          <w:color w:val="191919"/>
          <w:sz w:val="24"/>
          <w:szCs w:val="24"/>
          <w:shd w:val="clear" w:color="auto" w:fill="FFFFFF"/>
        </w:rPr>
        <w:t>8月16日，备受世界高等教育界和与高等教育有关的技术界瞩目的2018年《地平线报告》（Horizon Report）全文由美国艾迪尤考斯出版社（EDUCAUSE Publications）正式发布。今年4月曾发布报告预览版。</w:t>
      </w:r>
    </w:p>
    <w:p w:rsidR="002945FE" w:rsidRPr="00556403" w:rsidRDefault="002945FE" w:rsidP="00F735E8">
      <w:pPr>
        <w:pStyle w:val="a3"/>
        <w:shd w:val="clear" w:color="auto" w:fill="FFFFFF"/>
        <w:spacing w:before="151" w:beforeAutospacing="0" w:after="432" w:afterAutospacing="0" w:line="300" w:lineRule="auto"/>
        <w:ind w:firstLineChars="200" w:firstLine="480"/>
        <w:rPr>
          <w:rFonts w:asciiTheme="minorEastAsia" w:eastAsiaTheme="minorEastAsia" w:hAnsiTheme="minorEastAsia" w:cs="Arial"/>
          <w:color w:val="191919"/>
        </w:rPr>
      </w:pPr>
      <w:r w:rsidRPr="00556403">
        <w:rPr>
          <w:rFonts w:asciiTheme="minorEastAsia" w:eastAsiaTheme="minorEastAsia" w:hAnsiTheme="minorEastAsia" w:cs="Arial"/>
          <w:color w:val="191919"/>
        </w:rPr>
        <w:t>全球影响</w:t>
      </w:r>
    </w:p>
    <w:p w:rsidR="002945FE" w:rsidRPr="00556403" w:rsidRDefault="002945FE" w:rsidP="00F735E8">
      <w:pPr>
        <w:pStyle w:val="a3"/>
        <w:shd w:val="clear" w:color="auto" w:fill="FFFFFF"/>
        <w:spacing w:before="0" w:beforeAutospacing="0" w:after="0" w:afterAutospacing="0" w:line="300" w:lineRule="auto"/>
        <w:ind w:firstLineChars="200" w:firstLine="480"/>
        <w:jc w:val="both"/>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今年的这一报告只是关于高等教育的，而</w:t>
      </w:r>
      <w:proofErr w:type="gramStart"/>
      <w:r w:rsidRPr="00556403">
        <w:rPr>
          <w:rFonts w:asciiTheme="minorEastAsia" w:eastAsiaTheme="minorEastAsia" w:hAnsiTheme="minorEastAsia" w:cs="Arial"/>
          <w:color w:val="191919"/>
          <w:bdr w:val="none" w:sz="0" w:space="0" w:color="auto" w:frame="1"/>
        </w:rPr>
        <w:t>往年还</w:t>
      </w:r>
      <w:proofErr w:type="gramEnd"/>
      <w:r w:rsidRPr="00556403">
        <w:rPr>
          <w:rFonts w:asciiTheme="minorEastAsia" w:eastAsiaTheme="minorEastAsia" w:hAnsiTheme="minorEastAsia" w:cs="Arial"/>
          <w:color w:val="191919"/>
          <w:bdr w:val="none" w:sz="0" w:space="0" w:color="auto" w:frame="1"/>
        </w:rPr>
        <w:t>单独发布基础教育版的报告。</w:t>
      </w:r>
    </w:p>
    <w:p w:rsidR="002945FE" w:rsidRPr="00556403" w:rsidRDefault="002945FE" w:rsidP="00F735E8">
      <w:pPr>
        <w:pStyle w:val="a3"/>
        <w:shd w:val="clear" w:color="auto" w:fill="FFFFFF"/>
        <w:spacing w:before="0" w:beforeAutospacing="0" w:after="0" w:afterAutospacing="0" w:line="300" w:lineRule="auto"/>
        <w:ind w:firstLineChars="200" w:firstLine="480"/>
        <w:jc w:val="both"/>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由“地平线项目”（Horizon project）顾问委员会通过Delphi迭代研究方法研究出的这一报告，旨在确认并描述了高等教育中的教育技术的趋势、挑战与发展。</w:t>
      </w:r>
    </w:p>
    <w:p w:rsidR="002945FE" w:rsidRPr="00556403" w:rsidRDefault="002945FE"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这些教育技术聚焦于新技术在大学生学习、教学与创造性探究中的应用，并且预测教育技术对未来1～5年高等教育的重要影响。</w:t>
      </w:r>
    </w:p>
    <w:p w:rsidR="002945FE" w:rsidRPr="00556403" w:rsidRDefault="002945FE" w:rsidP="00F735E8">
      <w:pPr>
        <w:pStyle w:val="a3"/>
        <w:shd w:val="clear" w:color="auto" w:fill="FFFFFF"/>
        <w:spacing w:before="0" w:beforeAutospacing="0" w:after="0" w:afterAutospacing="0" w:line="300" w:lineRule="auto"/>
        <w:ind w:firstLineChars="200" w:firstLine="480"/>
        <w:jc w:val="both"/>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此前的《地平线报告》发布后被翻译成多种语言，在全球70多个国家和地区发行，读者估计超过60万人。预计今年的这一报告也会被全球多个国家和地区翻译和发行。</w:t>
      </w:r>
    </w:p>
    <w:p w:rsidR="002945FE" w:rsidRPr="00556403" w:rsidRDefault="002945FE" w:rsidP="00F735E8">
      <w:pPr>
        <w:pStyle w:val="a3"/>
        <w:shd w:val="clear" w:color="auto" w:fill="FFFFFF"/>
        <w:spacing w:before="0" w:beforeAutospacing="0" w:after="0" w:afterAutospacing="0" w:line="300" w:lineRule="auto"/>
        <w:ind w:firstLineChars="200" w:firstLine="480"/>
        <w:jc w:val="both"/>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《地平线报告》原本是由美国“新媒体联盟”（New Media Consortium，NMC）发布的。但是“新媒体联盟”于2017年宣布，由于其前财务总监和首席财务官的明显误差和遗漏，造成其资不抵债，所以将被迫停止运营。</w:t>
      </w:r>
    </w:p>
    <w:p w:rsidR="002945FE" w:rsidRPr="00556403" w:rsidRDefault="002945FE" w:rsidP="00F735E8">
      <w:pPr>
        <w:pStyle w:val="a3"/>
        <w:shd w:val="clear" w:color="auto" w:fill="FFFFFF"/>
        <w:spacing w:before="0" w:beforeAutospacing="0" w:after="0" w:afterAutospacing="0" w:line="300" w:lineRule="auto"/>
        <w:ind w:firstLineChars="200" w:firstLine="480"/>
        <w:jc w:val="both"/>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不过，令人欣慰的是，与“新媒体联盟”合作出版年度《地平线报告》高等教育版的美国艾迪尤考斯出版社，在今年初获得“新媒体联盟”地平线报告项目的授权，从而使今年的《地平线报告》得以延续出版。</w:t>
      </w:r>
    </w:p>
    <w:p w:rsidR="004D617F" w:rsidRPr="00556403" w:rsidRDefault="004D617F" w:rsidP="00F735E8">
      <w:pPr>
        <w:pStyle w:val="a3"/>
        <w:shd w:val="clear" w:color="auto" w:fill="FFFFFF"/>
        <w:spacing w:before="0" w:beforeAutospacing="0" w:after="0" w:afterAutospacing="0" w:line="300" w:lineRule="auto"/>
        <w:ind w:firstLineChars="200" w:firstLine="480"/>
        <w:rPr>
          <w:rFonts w:asciiTheme="minorEastAsia" w:eastAsiaTheme="minorEastAsia" w:hAnsiTheme="minorEastAsia" w:cs="Arial"/>
          <w:color w:val="191919"/>
        </w:rPr>
      </w:pPr>
      <w:r w:rsidRPr="00556403">
        <w:rPr>
          <w:rFonts w:asciiTheme="minorEastAsia" w:eastAsiaTheme="minorEastAsia" w:hAnsiTheme="minorEastAsia" w:cs="Arial"/>
          <w:color w:val="191919"/>
          <w:bdr w:val="none" w:sz="0" w:space="0" w:color="auto" w:frame="1"/>
        </w:rPr>
        <w:t>主要内容</w:t>
      </w:r>
    </w:p>
    <w:p w:rsidR="004D617F" w:rsidRPr="00556403" w:rsidRDefault="004D617F" w:rsidP="00F735E8">
      <w:pPr>
        <w:pStyle w:val="a3"/>
        <w:shd w:val="clear" w:color="auto" w:fill="FFFFFF"/>
        <w:spacing w:before="0" w:beforeAutospacing="0" w:after="0" w:afterAutospacing="0" w:line="300" w:lineRule="auto"/>
        <w:ind w:firstLineChars="200" w:firstLine="482"/>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加快高等教育技术采用的主要趋势</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1.长期（5年或者更多年）</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推进创新文化：</w:t>
      </w:r>
      <w:r w:rsidRPr="00556403">
        <w:rPr>
          <w:rFonts w:asciiTheme="minorEastAsia" w:eastAsiaTheme="minorEastAsia" w:hAnsiTheme="minorEastAsia" w:cs="Arial"/>
          <w:color w:val="191919"/>
          <w:bdr w:val="none" w:sz="0" w:space="0" w:color="auto" w:frame="1"/>
        </w:rPr>
        <w:t>校园已经发展成为创新和创业的温床，高等教育已被广泛认为是推动创新的重要方式，这一趋势的焦点已从理解促进新创意探索的价值，转向寻找复制它的方法。</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跨机构与跨部门合作：</w:t>
      </w:r>
      <w:r w:rsidRPr="00556403">
        <w:rPr>
          <w:rFonts w:asciiTheme="minorEastAsia" w:eastAsiaTheme="minorEastAsia" w:hAnsiTheme="minorEastAsia" w:cs="Arial"/>
          <w:color w:val="191919"/>
          <w:bdr w:val="none" w:sz="0" w:space="0" w:color="auto" w:frame="1"/>
        </w:rPr>
        <w:t>越来越多的机构正联合起来，将他们的智力资本结合起来，朝着技术、研究或相同价值观的共同目标努力。</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2.中期（3～5年内实现）</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开放教育资源的扩散：</w:t>
      </w:r>
      <w:r w:rsidRPr="00556403">
        <w:rPr>
          <w:rFonts w:asciiTheme="minorEastAsia" w:eastAsiaTheme="minorEastAsia" w:hAnsiTheme="minorEastAsia" w:cs="Arial"/>
          <w:color w:val="191919"/>
          <w:bdr w:val="none" w:sz="0" w:space="0" w:color="auto" w:frame="1"/>
        </w:rPr>
        <w:t>越来越多的大学推行自己的开放式学习计划，报告指出“开放”一词是一个“多层面的概念”，应该广泛地界定为“不仅在经济上，而且在所有权和使用权上”。</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lastRenderedPageBreak/>
        <w:t>新形式跨学科研究的兴起：</w:t>
      </w:r>
      <w:r w:rsidRPr="00556403">
        <w:rPr>
          <w:rFonts w:asciiTheme="minorEastAsia" w:eastAsiaTheme="minorEastAsia" w:hAnsiTheme="minorEastAsia" w:cs="Arial"/>
          <w:color w:val="191919"/>
          <w:bdr w:val="none" w:sz="0" w:space="0" w:color="auto" w:frame="1"/>
        </w:rPr>
        <w:t>数字人文学和计算社会科学研究方法， 为学术及出版开辟了多学科创新研究领域，研究人员、学术技术人员和开发人员一起，开创了数据结构、可视化、地理空间应用和开源工具的创新应用。</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3.短期（1～2年内实现）</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越来越重视测量学习：</w:t>
      </w:r>
      <w:r w:rsidRPr="00556403">
        <w:rPr>
          <w:rFonts w:asciiTheme="minorEastAsia" w:eastAsiaTheme="minorEastAsia" w:hAnsiTheme="minorEastAsia" w:cs="Arial"/>
          <w:color w:val="191919"/>
          <w:bdr w:val="none" w:sz="0" w:space="0" w:color="auto" w:frame="1"/>
        </w:rPr>
        <w:t>这种趋势描述了对评估的兴趣，以及教育工作者用于评估、衡量和记录学生的学习准备、学习进度、技能获取以及学生其他教育需求的各种方法和工具。</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重新设计学习空间：</w:t>
      </w:r>
      <w:r w:rsidRPr="00556403">
        <w:rPr>
          <w:rFonts w:asciiTheme="minorEastAsia" w:eastAsiaTheme="minorEastAsia" w:hAnsiTheme="minorEastAsia" w:cs="Arial"/>
          <w:color w:val="191919"/>
          <w:bdr w:val="none" w:sz="0" w:space="0" w:color="auto" w:frame="1"/>
        </w:rPr>
        <w:t>随着大学实施包含数字元素的策略并在实体教室中容纳更多的主动学习，他们正在重新调整物理环境，以促进这些教学转变。</w:t>
      </w:r>
    </w:p>
    <w:p w:rsidR="004D617F" w:rsidRPr="00556403" w:rsidRDefault="004D617F" w:rsidP="00F735E8">
      <w:pPr>
        <w:pStyle w:val="a3"/>
        <w:shd w:val="clear" w:color="auto" w:fill="FFFFFF"/>
        <w:spacing w:before="0" w:beforeAutospacing="0" w:after="0" w:afterAutospacing="0" w:line="300" w:lineRule="auto"/>
        <w:ind w:firstLineChars="200" w:firstLine="482"/>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阻碍高等教育技术应用的重大挑战</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1.可解决：我们理解并知道如何解决的问题</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真正的学习体验：</w:t>
      </w:r>
      <w:r w:rsidRPr="00556403">
        <w:rPr>
          <w:rFonts w:asciiTheme="minorEastAsia" w:eastAsiaTheme="minorEastAsia" w:hAnsiTheme="minorEastAsia" w:cs="Arial"/>
          <w:color w:val="191919"/>
          <w:bdr w:val="none" w:sz="0" w:space="0" w:color="auto" w:frame="1"/>
        </w:rPr>
        <w:t>定义为“让学生接触现实世界问题，并在工作情境中进行学习体验”。</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提高数字素养：</w:t>
      </w:r>
      <w:r w:rsidRPr="00556403">
        <w:rPr>
          <w:rFonts w:asciiTheme="minorEastAsia" w:eastAsiaTheme="minorEastAsia" w:hAnsiTheme="minorEastAsia" w:cs="Arial"/>
          <w:color w:val="191919"/>
          <w:bdr w:val="none" w:sz="0" w:space="0" w:color="auto" w:frame="1"/>
        </w:rPr>
        <w:t>培养学生的数字公民意识，确保其掌握恰当的技术使用并为之负责，包括在线交流礼仪、线上线下学习环境中的数字权利和责任等。</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2.困难：那些我们理解但却难以解决的问题</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让组织设计适应未来的工作：</w:t>
      </w:r>
      <w:r w:rsidRPr="00556403">
        <w:rPr>
          <w:rFonts w:asciiTheme="minorEastAsia" w:eastAsiaTheme="minorEastAsia" w:hAnsiTheme="minorEastAsia" w:cs="Arial"/>
          <w:color w:val="191919"/>
          <w:bdr w:val="none" w:sz="0" w:space="0" w:color="auto" w:frame="1"/>
        </w:rPr>
        <w:t>技术、不断变化的信息需求以及不断变化的教师角色，迫使院校重新思考传统的功能层级体系，机构必须采用更灵活、基于团队的矩阵式结构来保持创新，并对校园需求</w:t>
      </w:r>
      <w:proofErr w:type="gramStart"/>
      <w:r w:rsidRPr="00556403">
        <w:rPr>
          <w:rFonts w:asciiTheme="minorEastAsia" w:eastAsiaTheme="minorEastAsia" w:hAnsiTheme="minorEastAsia" w:cs="Arial"/>
          <w:color w:val="191919"/>
          <w:bdr w:val="none" w:sz="0" w:space="0" w:color="auto" w:frame="1"/>
        </w:rPr>
        <w:t>作出</w:t>
      </w:r>
      <w:proofErr w:type="gramEnd"/>
      <w:r w:rsidRPr="00556403">
        <w:rPr>
          <w:rFonts w:asciiTheme="minorEastAsia" w:eastAsiaTheme="minorEastAsia" w:hAnsiTheme="minorEastAsia" w:cs="Arial"/>
          <w:color w:val="191919"/>
          <w:bdr w:val="none" w:sz="0" w:space="0" w:color="auto" w:frame="1"/>
        </w:rPr>
        <w:t>反应。</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推进数字公平：</w:t>
      </w:r>
      <w:r w:rsidRPr="00556403">
        <w:rPr>
          <w:rFonts w:asciiTheme="minorEastAsia" w:eastAsiaTheme="minorEastAsia" w:hAnsiTheme="minorEastAsia" w:cs="Arial"/>
          <w:color w:val="191919"/>
          <w:bdr w:val="none" w:sz="0" w:space="0" w:color="auto" w:frame="1"/>
        </w:rPr>
        <w:t>获得技术和宽带互联网，必要的“促进社会中的全面参与、交流和学习”。</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3.艰难：那些难以定义的复杂事物和可能无法解决的挑战</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经济与政治压力，以及重新思考教育工作者面对技术支持的教学方法的作用。</w:t>
      </w:r>
    </w:p>
    <w:p w:rsidR="004D617F" w:rsidRPr="00556403" w:rsidRDefault="004D617F" w:rsidP="00F735E8">
      <w:pPr>
        <w:pStyle w:val="a3"/>
        <w:shd w:val="clear" w:color="auto" w:fill="FFFFFF"/>
        <w:spacing w:before="0" w:beforeAutospacing="0" w:after="0" w:afterAutospacing="0" w:line="300" w:lineRule="auto"/>
        <w:ind w:firstLineChars="200" w:firstLine="482"/>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高等教育技术的重大发展</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1.采用时间（1年或者更短）</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分析技术</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proofErr w:type="gramStart"/>
      <w:r w:rsidRPr="00556403">
        <w:rPr>
          <w:rStyle w:val="a4"/>
          <w:rFonts w:asciiTheme="minorEastAsia" w:eastAsiaTheme="minorEastAsia" w:hAnsiTheme="minorEastAsia" w:cs="Arial"/>
          <w:color w:val="191919"/>
          <w:bdr w:val="none" w:sz="0" w:space="0" w:color="auto" w:frame="1"/>
        </w:rPr>
        <w:t>创客空间</w:t>
      </w:r>
      <w:proofErr w:type="gramEnd"/>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2.采用时间（2～3年）</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人工智能</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自适应学习技术</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3.采用时间（4～5年）</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混合现实</w:t>
      </w:r>
    </w:p>
    <w:p w:rsidR="004D617F" w:rsidRPr="00556403" w:rsidRDefault="004D617F" w:rsidP="00F735E8">
      <w:pPr>
        <w:pStyle w:val="a3"/>
        <w:shd w:val="clear" w:color="auto" w:fill="FFFFFF"/>
        <w:spacing w:before="0" w:beforeAutospacing="0" w:after="0" w:afterAutospacing="0" w:line="300" w:lineRule="auto"/>
        <w:ind w:firstLineChars="200" w:firstLine="482"/>
        <w:jc w:val="both"/>
        <w:rPr>
          <w:rFonts w:asciiTheme="minorEastAsia" w:eastAsiaTheme="minorEastAsia" w:hAnsiTheme="minorEastAsia" w:cs="Arial"/>
          <w:color w:val="191919"/>
        </w:rPr>
      </w:pPr>
      <w:r w:rsidRPr="00556403">
        <w:rPr>
          <w:rStyle w:val="a4"/>
          <w:rFonts w:asciiTheme="minorEastAsia" w:eastAsiaTheme="minorEastAsia" w:hAnsiTheme="minorEastAsia" w:cs="Arial"/>
          <w:color w:val="191919"/>
          <w:bdr w:val="none" w:sz="0" w:space="0" w:color="auto" w:frame="1"/>
        </w:rPr>
        <w:t>机器人</w:t>
      </w:r>
    </w:p>
    <w:p w:rsidR="004D0067" w:rsidRPr="00556403" w:rsidRDefault="004D0067" w:rsidP="00F735E8">
      <w:pPr>
        <w:spacing w:line="300" w:lineRule="auto"/>
        <w:rPr>
          <w:rFonts w:asciiTheme="minorEastAsia" w:hAnsiTheme="minorEastAsia"/>
          <w:sz w:val="24"/>
          <w:szCs w:val="24"/>
        </w:rPr>
      </w:pPr>
      <w:bookmarkStart w:id="0" w:name="_GoBack"/>
      <w:bookmarkEnd w:id="0"/>
    </w:p>
    <w:sectPr w:rsidR="004D0067" w:rsidRPr="00556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C7"/>
    <w:rsid w:val="002945FE"/>
    <w:rsid w:val="004D0067"/>
    <w:rsid w:val="004D617F"/>
    <w:rsid w:val="00556403"/>
    <w:rsid w:val="00BE40C7"/>
    <w:rsid w:val="00F7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4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40C7"/>
    <w:rPr>
      <w:rFonts w:ascii="宋体" w:eastAsia="宋体" w:hAnsi="宋体" w:cs="宋体"/>
      <w:b/>
      <w:bCs/>
      <w:kern w:val="36"/>
      <w:sz w:val="48"/>
      <w:szCs w:val="48"/>
    </w:rPr>
  </w:style>
  <w:style w:type="paragraph" w:styleId="a3">
    <w:name w:val="Normal (Web)"/>
    <w:basedOn w:val="a"/>
    <w:uiPriority w:val="99"/>
    <w:semiHidden/>
    <w:unhideWhenUsed/>
    <w:rsid w:val="002945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4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4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40C7"/>
    <w:rPr>
      <w:rFonts w:ascii="宋体" w:eastAsia="宋体" w:hAnsi="宋体" w:cs="宋体"/>
      <w:b/>
      <w:bCs/>
      <w:kern w:val="36"/>
      <w:sz w:val="48"/>
      <w:szCs w:val="48"/>
    </w:rPr>
  </w:style>
  <w:style w:type="paragraph" w:styleId="a3">
    <w:name w:val="Normal (Web)"/>
    <w:basedOn w:val="a"/>
    <w:uiPriority w:val="99"/>
    <w:semiHidden/>
    <w:unhideWhenUsed/>
    <w:rsid w:val="002945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4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699">
      <w:bodyDiv w:val="1"/>
      <w:marLeft w:val="0"/>
      <w:marRight w:val="0"/>
      <w:marTop w:val="0"/>
      <w:marBottom w:val="0"/>
      <w:divBdr>
        <w:top w:val="none" w:sz="0" w:space="0" w:color="auto"/>
        <w:left w:val="none" w:sz="0" w:space="0" w:color="auto"/>
        <w:bottom w:val="none" w:sz="0" w:space="0" w:color="auto"/>
        <w:right w:val="none" w:sz="0" w:space="0" w:color="auto"/>
      </w:divBdr>
    </w:div>
    <w:div w:id="556815888">
      <w:bodyDiv w:val="1"/>
      <w:marLeft w:val="0"/>
      <w:marRight w:val="0"/>
      <w:marTop w:val="0"/>
      <w:marBottom w:val="0"/>
      <w:divBdr>
        <w:top w:val="none" w:sz="0" w:space="0" w:color="auto"/>
        <w:left w:val="none" w:sz="0" w:space="0" w:color="auto"/>
        <w:bottom w:val="none" w:sz="0" w:space="0" w:color="auto"/>
        <w:right w:val="none" w:sz="0" w:space="0" w:color="auto"/>
      </w:divBdr>
    </w:div>
    <w:div w:id="10926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2018-10-19T02:34:00Z</dcterms:created>
  <dcterms:modified xsi:type="dcterms:W3CDTF">2018-10-19T02:38:00Z</dcterms:modified>
</cp:coreProperties>
</file>